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A11D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A11D0" w:rsidTr="00745F53">
              <w:trPr>
                <w:cantSplit/>
                <w:trHeight w:hRule="exact" w:val="6570"/>
              </w:trPr>
              <w:tc>
                <w:tcPr>
                  <w:tcW w:w="7200" w:type="dxa"/>
                </w:tcPr>
                <w:p w:rsidR="000A11D0" w:rsidRDefault="00643430" w:rsidP="00643430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410075" cy="440055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nimals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0075" cy="440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1D0" w:rsidTr="00745F53">
              <w:trPr>
                <w:trHeight w:hRule="exact" w:val="6390"/>
              </w:trPr>
              <w:tc>
                <w:tcPr>
                  <w:tcW w:w="7200" w:type="dxa"/>
                </w:tcPr>
                <w:p w:rsidR="000A11D0" w:rsidRPr="00745F53" w:rsidRDefault="00643430" w:rsidP="00745F53">
                  <w:pPr>
                    <w:pStyle w:val="Subtitle"/>
                    <w:jc w:val="center"/>
                    <w:rPr>
                      <w:color w:val="00B0F0"/>
                      <w:sz w:val="90"/>
                      <w:szCs w:val="90"/>
                    </w:rPr>
                  </w:pPr>
                  <w:r w:rsidRPr="00745F53">
                    <w:rPr>
                      <w:color w:val="00B0F0"/>
                      <w:sz w:val="90"/>
                      <w:szCs w:val="90"/>
                    </w:rPr>
                    <w:t>april 19, 2014</w:t>
                  </w:r>
                </w:p>
                <w:p w:rsidR="00DA639B" w:rsidRPr="00745F53" w:rsidRDefault="00643430" w:rsidP="00745F53">
                  <w:pPr>
                    <w:pStyle w:val="Title"/>
                    <w:spacing w:line="192" w:lineRule="auto"/>
                    <w:jc w:val="center"/>
                    <w:rPr>
                      <w:color w:val="FF3300"/>
                      <w:sz w:val="90"/>
                      <w:szCs w:val="90"/>
                    </w:rPr>
                  </w:pPr>
                  <w:r w:rsidRPr="00745F53">
                    <w:rPr>
                      <w:color w:val="FF3300"/>
                      <w:sz w:val="90"/>
                      <w:szCs w:val="90"/>
                    </w:rPr>
                    <w:t>6-9pm</w:t>
                  </w:r>
                </w:p>
                <w:p w:rsidR="000A11D0" w:rsidRPr="00745F53" w:rsidRDefault="00DA639B" w:rsidP="00745F53">
                  <w:pPr>
                    <w:pStyle w:val="Title"/>
                    <w:spacing w:line="192" w:lineRule="auto"/>
                    <w:jc w:val="center"/>
                    <w:rPr>
                      <w:color w:val="4EA23A" w:themeColor="accent6"/>
                      <w:sz w:val="90"/>
                      <w:szCs w:val="90"/>
                    </w:rPr>
                  </w:pPr>
                  <w:r w:rsidRPr="00745F53">
                    <w:rPr>
                      <w:color w:val="4EA23A" w:themeColor="accent6"/>
                      <w:sz w:val="90"/>
                      <w:szCs w:val="90"/>
                    </w:rPr>
                    <w:t>FUNDRAISER</w:t>
                  </w:r>
                </w:p>
                <w:p w:rsidR="000A11D0" w:rsidRPr="00745F53" w:rsidRDefault="00DA639B" w:rsidP="00745F53">
                  <w:pPr>
                    <w:rPr>
                      <w:b/>
                    </w:rPr>
                  </w:pPr>
                  <w:r w:rsidRPr="00541119">
                    <w:rPr>
                      <w:rStyle w:val="fsl"/>
                      <w:b/>
                      <w:color w:val="EC6723" w:themeColor="accent4"/>
                      <w:sz w:val="24"/>
                      <w:szCs w:val="24"/>
                    </w:rPr>
                    <w:t>The March for the Animals raises critical funds needed to help save the lives of the thousands and thousands of pets that come to the MD SPCA every year.</w:t>
                  </w:r>
                  <w:r w:rsidR="00745F53" w:rsidRPr="00541119">
                    <w:rPr>
                      <w:rStyle w:val="fsl"/>
                      <w:b/>
                      <w:color w:val="EC6723" w:themeColor="accent4"/>
                      <w:sz w:val="24"/>
                      <w:szCs w:val="24"/>
                    </w:rPr>
                    <w:t xml:space="preserve"> </w:t>
                  </w:r>
                  <w:r w:rsidRPr="00541119">
                    <w:rPr>
                      <w:rStyle w:val="fsl"/>
                      <w:b/>
                      <w:color w:val="EC6723" w:themeColor="accent4"/>
                      <w:sz w:val="24"/>
                      <w:szCs w:val="24"/>
                    </w:rPr>
                    <w:t>Last year's March raised over $365,000 for homeless animals. All donations go directly to provide care, shelter, food, spay/neuter and medication to the animals in our adoption center</w:t>
                  </w:r>
                  <w:r w:rsidR="00745F53" w:rsidRPr="00541119">
                    <w:rPr>
                      <w:rStyle w:val="fsl"/>
                      <w:b/>
                      <w:color w:val="EC6723" w:themeColor="accent4"/>
                      <w:sz w:val="24"/>
                      <w:szCs w:val="24"/>
                    </w:rPr>
                    <w:t xml:space="preserve">. </w:t>
                  </w:r>
                  <w:r w:rsidR="00745F53" w:rsidRPr="00541119">
                    <w:rPr>
                      <w:rStyle w:val="fsl"/>
                      <w:b/>
                      <w:color w:val="EC6723" w:themeColor="accent4"/>
                      <w:sz w:val="24"/>
                      <w:szCs w:val="24"/>
                    </w:rPr>
                    <w:br/>
                  </w:r>
                  <w:r w:rsidRPr="00541119">
                    <w:rPr>
                      <w:rStyle w:val="fsl"/>
                      <w:b/>
                      <w:color w:val="EC6723" w:themeColor="accent4"/>
                      <w:sz w:val="24"/>
                      <w:szCs w:val="24"/>
                    </w:rPr>
                    <w:t>3,000 pets a year are saved by the MD SPCA. We also spay/neuter nearly 9,000 animals a year. We do not receive any operating funds from the government or money from national animal welfare organizations and rely on donations to care for our animals</w:t>
                  </w:r>
                  <w:r w:rsidR="00745F53" w:rsidRPr="00541119">
                    <w:rPr>
                      <w:rStyle w:val="fsl"/>
                      <w:b/>
                      <w:color w:val="EC6723" w:themeColor="accent4"/>
                      <w:sz w:val="24"/>
                      <w:szCs w:val="24"/>
                    </w:rPr>
                    <w:t>.</w:t>
                  </w:r>
                </w:p>
              </w:tc>
            </w:tr>
            <w:tr w:rsidR="000A11D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0A11D0" w:rsidRDefault="00745F53" w:rsidP="009A2DC4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2E147285" wp14:editId="617A165B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127000</wp:posOffset>
                        </wp:positionV>
                        <wp:extent cx="4572000" cy="788035"/>
                        <wp:effectExtent l="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 Long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788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A11D0" w:rsidRDefault="000A11D0"/>
        </w:tc>
        <w:tc>
          <w:tcPr>
            <w:tcW w:w="144" w:type="dxa"/>
          </w:tcPr>
          <w:p w:rsidR="000A11D0" w:rsidRDefault="000A11D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A11D0" w:rsidTr="009A2DC4">
              <w:trPr>
                <w:trHeight w:hRule="exact" w:val="10867"/>
              </w:trPr>
              <w:tc>
                <w:tcPr>
                  <w:tcW w:w="3456" w:type="dxa"/>
                  <w:shd w:val="clear" w:color="auto" w:fill="00A59B" w:themeFill="accent2"/>
                  <w:vAlign w:val="center"/>
                </w:tcPr>
                <w:p w:rsidR="000A11D0" w:rsidRDefault="00643430">
                  <w:pPr>
                    <w:pStyle w:val="Heading2"/>
                  </w:pPr>
                  <w:r>
                    <w:t>March for the animals fundraiser</w:t>
                  </w:r>
                </w:p>
                <w:p w:rsidR="000A11D0" w:rsidRDefault="000A11D0">
                  <w:pPr>
                    <w:pStyle w:val="Line"/>
                  </w:pPr>
                </w:p>
                <w:p w:rsidR="000A11D0" w:rsidRDefault="00643430">
                  <w:pPr>
                    <w:pStyle w:val="Heading2"/>
                  </w:pPr>
                  <w:r>
                    <w:t>Come join us to help jess poe</w:t>
                  </w:r>
                  <w:r w:rsidR="007D4604">
                    <w:t xml:space="preserve"> &amp; her team </w:t>
                  </w:r>
                  <w:r>
                    <w:t xml:space="preserve">raise money for </w:t>
                  </w:r>
                  <w:r w:rsidR="00DA639B">
                    <w:t>Maryland SPCA’s annual 1.5 mile walk-a-thon</w:t>
                  </w:r>
                  <w:r>
                    <w:t>!</w:t>
                  </w:r>
                </w:p>
                <w:p w:rsidR="000A11D0" w:rsidRDefault="000A11D0">
                  <w:pPr>
                    <w:pStyle w:val="Line"/>
                  </w:pPr>
                </w:p>
                <w:p w:rsidR="000A11D0" w:rsidRDefault="009A2DC4">
                  <w:pPr>
                    <w:pStyle w:val="Heading2"/>
                  </w:pPr>
                  <w:r>
                    <w:t>10% of the bar sales will be donated!</w:t>
                  </w:r>
                </w:p>
                <w:p w:rsidR="000A11D0" w:rsidRDefault="000A11D0">
                  <w:pPr>
                    <w:pStyle w:val="Line"/>
                  </w:pPr>
                </w:p>
                <w:p w:rsidR="000A11D0" w:rsidRDefault="009A2DC4">
                  <w:pPr>
                    <w:pStyle w:val="Heading2"/>
                  </w:pPr>
                  <w:r>
                    <w:t>Awesome raffles!</w:t>
                  </w:r>
                </w:p>
                <w:p w:rsidR="000A11D0" w:rsidRDefault="000A11D0">
                  <w:pPr>
                    <w:pStyle w:val="Line"/>
                  </w:pPr>
                </w:p>
                <w:p w:rsidR="000A11D0" w:rsidRDefault="009A2DC4" w:rsidP="009A2DC4">
                  <w:pPr>
                    <w:pStyle w:val="Heading2"/>
                  </w:pPr>
                  <w:r>
                    <w:t>Great drink specials, homemade menu items and more!</w:t>
                  </w:r>
                </w:p>
              </w:tc>
            </w:tr>
            <w:tr w:rsidR="000A11D0" w:rsidTr="009A2DC4">
              <w:trPr>
                <w:trHeight w:hRule="exact" w:val="144"/>
              </w:trPr>
              <w:tc>
                <w:tcPr>
                  <w:tcW w:w="3456" w:type="dxa"/>
                </w:tcPr>
                <w:p w:rsidR="000A11D0" w:rsidRDefault="000A11D0"/>
              </w:tc>
            </w:tr>
            <w:tr w:rsidR="000A11D0" w:rsidTr="009A2DC4">
              <w:trPr>
                <w:trHeight w:hRule="exact" w:val="3477"/>
              </w:trPr>
              <w:tc>
                <w:tcPr>
                  <w:tcW w:w="3456" w:type="dxa"/>
                  <w:shd w:val="clear" w:color="auto" w:fill="E6A024" w:themeFill="accent1"/>
                  <w:vAlign w:val="center"/>
                </w:tcPr>
                <w:p w:rsidR="000A11D0" w:rsidRDefault="009A2DC4">
                  <w:pPr>
                    <w:pStyle w:val="Heading3"/>
                  </w:pPr>
                  <w:r>
                    <w:t>Second Chance saloon</w:t>
                  </w:r>
                </w:p>
                <w:p w:rsidR="000A11D0" w:rsidRDefault="00C33D77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FA43C550311149F8B5349CCB0885B559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A2DC4">
                        <w:t>5888 ROBERT OLIVER PLACE</w:t>
                      </w:r>
                      <w:r w:rsidR="009A2DC4">
                        <w:br/>
                        <w:t>COLUMBIA, MD 21045</w:t>
                      </w:r>
                      <w:r w:rsidR="009A2DC4">
                        <w:br/>
                        <w:t>443.545.5844</w:t>
                      </w:r>
                    </w:sdtContent>
                  </w:sdt>
                </w:p>
                <w:p w:rsidR="000A11D0" w:rsidRDefault="009A2DC4">
                  <w:pPr>
                    <w:pStyle w:val="ContactInfo"/>
                  </w:pPr>
                  <w:r>
                    <w:t>www.2ndchancesaloon.com</w:t>
                  </w:r>
                </w:p>
                <w:p w:rsidR="000A11D0" w:rsidRDefault="009A2DC4" w:rsidP="009A2DC4">
                  <w:pPr>
                    <w:pStyle w:val="Date"/>
                  </w:pPr>
                  <w:r>
                    <w:t>Jessica Poe-Team Leader</w:t>
                  </w:r>
                </w:p>
                <w:p w:rsidR="009A2DC4" w:rsidRDefault="009A2DC4" w:rsidP="009A2DC4">
                  <w:pPr>
                    <w:pStyle w:val="Date"/>
                  </w:pPr>
                  <w:r>
                    <w:t>443.542.7985</w:t>
                  </w:r>
                </w:p>
              </w:tc>
            </w:tr>
          </w:tbl>
          <w:p w:rsidR="000A11D0" w:rsidRDefault="000A11D0"/>
        </w:tc>
      </w:tr>
    </w:tbl>
    <w:p w:rsidR="000A11D0" w:rsidRDefault="000A11D0">
      <w:pPr>
        <w:pStyle w:val="NoSpacing"/>
      </w:pPr>
    </w:p>
    <w:sectPr w:rsidR="000A11D0" w:rsidSect="00745F53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30"/>
    <w:rsid w:val="000A11D0"/>
    <w:rsid w:val="00541119"/>
    <w:rsid w:val="00643430"/>
    <w:rsid w:val="00745F53"/>
    <w:rsid w:val="007D4604"/>
    <w:rsid w:val="008C213D"/>
    <w:rsid w:val="009A2DC4"/>
    <w:rsid w:val="00C33D77"/>
    <w:rsid w:val="00D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3E419-CD4B-4A51-91BB-654518FC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customStyle="1" w:styleId="fsl">
    <w:name w:val="fsl"/>
    <w:basedOn w:val="DefaultParagraphFont"/>
    <w:rsid w:val="00DA639B"/>
  </w:style>
  <w:style w:type="character" w:customStyle="1" w:styleId="textexposedshow">
    <w:name w:val="text_exposed_show"/>
    <w:basedOn w:val="DefaultParagraphFont"/>
    <w:rsid w:val="00DA639B"/>
  </w:style>
  <w:style w:type="character" w:styleId="Hyperlink">
    <w:name w:val="Hyperlink"/>
    <w:basedOn w:val="DefaultParagraphFont"/>
    <w:uiPriority w:val="99"/>
    <w:semiHidden/>
    <w:unhideWhenUsed/>
    <w:rsid w:val="00DA6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i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43C550311149F8B5349CCB0885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56EC-D093-4804-8E92-D97228A54F9D}"/>
      </w:docPartPr>
      <w:docPartBody>
        <w:p w:rsidR="00774437" w:rsidRDefault="000C06AC">
          <w:pPr>
            <w:pStyle w:val="FA43C550311149F8B5349CCB0885B559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AC"/>
    <w:rsid w:val="000C06AC"/>
    <w:rsid w:val="00774437"/>
    <w:rsid w:val="00E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52F5127834668953668265E97EFBE">
    <w:name w:val="95452F5127834668953668265E97EFBE"/>
  </w:style>
  <w:style w:type="paragraph" w:customStyle="1" w:styleId="796B4B86ABC041C9ABE50E1DC9AB228E">
    <w:name w:val="796B4B86ABC041C9ABE50E1DC9AB228E"/>
  </w:style>
  <w:style w:type="paragraph" w:customStyle="1" w:styleId="A4DFB8249B5A4C01B1F57D5207750E9D">
    <w:name w:val="A4DFB8249B5A4C01B1F57D5207750E9D"/>
  </w:style>
  <w:style w:type="paragraph" w:customStyle="1" w:styleId="BC833608817B4F85AB2F8F413D1AADC5">
    <w:name w:val="BC833608817B4F85AB2F8F413D1AADC5"/>
  </w:style>
  <w:style w:type="paragraph" w:customStyle="1" w:styleId="F45B3A52FFB44B6C986C4BA4145E8222">
    <w:name w:val="F45B3A52FFB44B6C986C4BA4145E8222"/>
  </w:style>
  <w:style w:type="paragraph" w:customStyle="1" w:styleId="934F785EE9754572B900741FC1EB6369">
    <w:name w:val="934F785EE9754572B900741FC1EB6369"/>
  </w:style>
  <w:style w:type="paragraph" w:customStyle="1" w:styleId="AC4A880F9F8F44EF871DC894216B5E15">
    <w:name w:val="AC4A880F9F8F44EF871DC894216B5E15"/>
  </w:style>
  <w:style w:type="paragraph" w:customStyle="1" w:styleId="E1A064C21FB644EDA7EBDF2B2575BB52">
    <w:name w:val="E1A064C21FB644EDA7EBDF2B2575BB52"/>
  </w:style>
  <w:style w:type="paragraph" w:customStyle="1" w:styleId="FEFCEF80B2EA4213A429930ED1EA1C3D">
    <w:name w:val="FEFCEF80B2EA4213A429930ED1EA1C3D"/>
  </w:style>
  <w:style w:type="paragraph" w:customStyle="1" w:styleId="F96DE203AD874A4EB766BB2F8E70B196">
    <w:name w:val="F96DE203AD874A4EB766BB2F8E70B196"/>
  </w:style>
  <w:style w:type="paragraph" w:customStyle="1" w:styleId="FA43C550311149F8B5349CCB0885B559">
    <w:name w:val="FA43C550311149F8B5349CCB0885B559"/>
  </w:style>
  <w:style w:type="paragraph" w:customStyle="1" w:styleId="A7C42F29F4D648D89B7AB0CC769B9201">
    <w:name w:val="A7C42F29F4D648D89B7AB0CC769B9201"/>
  </w:style>
  <w:style w:type="paragraph" w:customStyle="1" w:styleId="5AD88015DB7B4A11A4291A18883C3E8F">
    <w:name w:val="5AD88015DB7B4A11A4291A18883C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910AA-B5AD-420C-873C-A542AF89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Ramsey</dc:creator>
  <cp:keywords/>
  <dc:description/>
  <cp:lastModifiedBy>Second Chance</cp:lastModifiedBy>
  <cp:revision>2</cp:revision>
  <cp:lastPrinted>2012-12-25T21:02:00Z</cp:lastPrinted>
  <dcterms:created xsi:type="dcterms:W3CDTF">2014-04-10T14:04:00Z</dcterms:created>
  <dcterms:modified xsi:type="dcterms:W3CDTF">2014-04-10T14:04:00Z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